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55C6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55C61" w:rsidRDefault="00B2200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955C61" w:rsidRDefault="00B2200D">
            <w:pPr>
              <w:spacing w:after="0" w:line="240" w:lineRule="auto"/>
            </w:pPr>
            <w:r>
              <w:t>31729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55C61" w:rsidRDefault="00B2200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955C61" w:rsidRDefault="00B2200D">
            <w:pPr>
              <w:spacing w:after="0" w:line="240" w:lineRule="auto"/>
            </w:pPr>
            <w:r>
              <w:t>OPĆINA MARTIJANEC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55C61" w:rsidRDefault="00B2200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955C61" w:rsidRDefault="00B2200D">
            <w:pPr>
              <w:spacing w:after="0" w:line="240" w:lineRule="auto"/>
            </w:pPr>
            <w:r>
              <w:t>22</w:t>
            </w:r>
          </w:p>
        </w:tc>
      </w:tr>
    </w:tbl>
    <w:p w:rsidR="00955C61" w:rsidRDefault="00B2200D">
      <w:r>
        <w:br/>
      </w:r>
    </w:p>
    <w:p w:rsidR="00955C61" w:rsidRDefault="00B2200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55C61" w:rsidRDefault="00B2200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55C61" w:rsidRDefault="00B2200D" w:rsidP="00B2200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955C61" w:rsidRDefault="00B2200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955C61" w:rsidRDefault="00B2200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2.293.121,65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2.484.162,57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1.394.413,60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1.553.346,11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955C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898.708,05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930.816,46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103,6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48.778,10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16.060,34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32,9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1.134.534,61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901.743,57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79,5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955C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1.085.756,51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885.683,23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81,6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67.226,98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31.521,64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46,9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955C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67.226,98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31.521,64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46,9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955C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13.611,59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955C61" w:rsidRDefault="00955C61">
      <w:pPr>
        <w:spacing w:after="0"/>
      </w:pPr>
    </w:p>
    <w:p w:rsidR="00955C61" w:rsidRDefault="00B2200D" w:rsidP="00B2200D">
      <w:pPr>
        <w:jc w:val="both"/>
      </w:pPr>
      <w:r>
        <w:t xml:space="preserve">Ukupni prihodi ostvareni su u iznosu od 2.484.162,57 EUR dok su ukupni rashodi poslovanja izvršeni u iznosu od 1.553.346,11 EUR što dovodi do viška prihoda poslovanja od 930.816,46 EUR. Ukupni prihodi od prodaje nefinancijske imovine ostvareni su u iznosu </w:t>
      </w:r>
      <w:r>
        <w:t>od 16.060,34 EUR, a ukupni rashodi za nabavu nefinancijske imovine ostvareni su u iznosu od 901.743,57 EUR što dovodi do manjka prihoda od nefinancijske imovine u iznosu od 885.683,23 EUR.  Primitaka od financijske imovine nije bilo dok su izdaci za financ</w:t>
      </w:r>
      <w:r>
        <w:t xml:space="preserve">ijsku imovinu iznosili 31.521,64 EUR što dovodi do manjka od financijske imovine u iznosu od 31.512,64 EUR. </w:t>
      </w:r>
      <w:r>
        <w:lastRenderedPageBreak/>
        <w:t>Sve ranije navedeno dovelo je do viška prihoda i primitaka u ovom izvještajnom razdoblju od 13.611,59 EUR, te uz preneseni višak od 219.500,53 EUR o</w:t>
      </w:r>
      <w:r>
        <w:t>stvaren je višak od 233.112,12 EUR.</w:t>
      </w:r>
    </w:p>
    <w:p w:rsidR="00955C61" w:rsidRDefault="00B2200D" w:rsidP="00B2200D">
      <w:pPr>
        <w:jc w:val="both"/>
      </w:pPr>
      <w:r>
        <w:t xml:space="preserve">Razlika između viška poslovanja – prenesenog iz 2024. godine koji je iskazan u Financijskom izvještaju od I-XII.2024. godine u iznosu od 230.703,38 EUR i viška poslovanja – prenesenog koji je iskazan u ovom izvještaju u </w:t>
      </w:r>
      <w:r>
        <w:t>iznosu od 219.500,053 EUR ima razliku – smanjenje od 11.202,85 EUR zbog zakašnjelih računa koji su stigli nakon predaje Financijskog izvještaja, a odnosili su se na 2024. godinu. </w:t>
      </w:r>
    </w:p>
    <w:p w:rsidR="00955C61" w:rsidRDefault="00B2200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14.022,33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60.558,66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431,9</w:t>
            </w:r>
          </w:p>
        </w:tc>
      </w:tr>
    </w:tbl>
    <w:p w:rsidR="00955C61" w:rsidRDefault="00955C61">
      <w:pPr>
        <w:spacing w:after="0"/>
      </w:pPr>
    </w:p>
    <w:p w:rsidR="00955C61" w:rsidRDefault="00B2200D" w:rsidP="00B2200D">
      <w:pPr>
        <w:jc w:val="both"/>
      </w:pPr>
      <w:r>
        <w:t xml:space="preserve">Pomoći od izvanproračunskih korisnika veće su za 431,9 % zbog primljenih pomoći FZOEU za prilagodbu klimatskim promjenama u iznosu od 31.163,60 EUR, pomoći FZOEU za izobrazbu informativnih aktivnosti u iznosu od 1.697,08 EUR te pomoć Hrvatskih voda za </w:t>
      </w:r>
      <w:proofErr w:type="spellStart"/>
      <w:r>
        <w:t>snac</w:t>
      </w:r>
      <w:r>
        <w:t>iju</w:t>
      </w:r>
      <w:proofErr w:type="spellEnd"/>
      <w:r>
        <w:t xml:space="preserve"> propusta kod spoja NC1-004 </w:t>
      </w:r>
      <w:proofErr w:type="spellStart"/>
      <w:r>
        <w:t>Sudovčina</w:t>
      </w:r>
      <w:proofErr w:type="spellEnd"/>
      <w:r>
        <w:t xml:space="preserve"> i NC 1-003 </w:t>
      </w:r>
      <w:proofErr w:type="spellStart"/>
      <w:r>
        <w:t>Vrbanovec</w:t>
      </w:r>
      <w:proofErr w:type="spellEnd"/>
      <w:r>
        <w:t xml:space="preserve"> u iznosu od 27.697,98 EUR.</w:t>
      </w:r>
    </w:p>
    <w:p w:rsidR="00955C61" w:rsidRDefault="00B2200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128.143,79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277.453,10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216,5</w:t>
            </w:r>
          </w:p>
        </w:tc>
      </w:tr>
    </w:tbl>
    <w:p w:rsidR="00955C61" w:rsidRDefault="00955C61">
      <w:pPr>
        <w:spacing w:after="0"/>
      </w:pPr>
    </w:p>
    <w:p w:rsidR="00955C61" w:rsidRDefault="00B2200D">
      <w:r>
        <w:t>Naknada za korištenje nefinancijske imovine iznosi 277.453,10 EUR i predstavlja povećanje od 216,5 % zbog donošenja nove Uredbe o naknadi za koncesiju za eksploataciju mineralnih sirovima.</w:t>
      </w:r>
    </w:p>
    <w:p w:rsidR="00955C61" w:rsidRDefault="00B2200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9.579,41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28.410,35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296,6</w:t>
            </w:r>
          </w:p>
        </w:tc>
      </w:tr>
    </w:tbl>
    <w:p w:rsidR="00955C61" w:rsidRDefault="00955C61">
      <w:pPr>
        <w:spacing w:after="0"/>
      </w:pPr>
    </w:p>
    <w:p w:rsidR="00955C61" w:rsidRDefault="00B2200D" w:rsidP="00B2200D">
      <w:pPr>
        <w:jc w:val="both"/>
      </w:pPr>
      <w:r>
        <w:t>Šumski doprinos veći je za 196,6% od istog razdoblja prethodne godine, promjenjive je prirode te ga plaćaju pravne i fizičke osobe koje obavljaju prodaju proizvoda iskorištavanja šuma (drvni sortimenti) u odnosu na prodajnu cijenu proizvoda na panju.</w:t>
      </w:r>
    </w:p>
    <w:p w:rsidR="00955C61" w:rsidRDefault="00955C61"/>
    <w:p w:rsidR="00955C61" w:rsidRDefault="00B2200D">
      <w:pPr>
        <w:keepNext/>
        <w:spacing w:line="240" w:lineRule="auto"/>
        <w:jc w:val="center"/>
      </w:pPr>
      <w:r>
        <w:rPr>
          <w:sz w:val="28"/>
        </w:rPr>
        <w:lastRenderedPageBreak/>
        <w:t>Bilj</w:t>
      </w:r>
      <w:r>
        <w:rPr>
          <w:sz w:val="28"/>
        </w:rPr>
        <w:t>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13.655,57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2467,6</w:t>
            </w:r>
          </w:p>
        </w:tc>
      </w:tr>
    </w:tbl>
    <w:p w:rsidR="00955C61" w:rsidRDefault="00955C61">
      <w:pPr>
        <w:spacing w:after="0"/>
      </w:pPr>
    </w:p>
    <w:p w:rsidR="00955C61" w:rsidRDefault="00B2200D" w:rsidP="00B2200D">
      <w:pPr>
        <w:jc w:val="both"/>
      </w:pPr>
      <w:r>
        <w:t xml:space="preserve">Kazne, upravne mjere i ostali prihodi iznose 13.655,57 EUR i veće su za 2.346,6% od istog razdoblja prošle godine jer smo ove godine od izvođača radova - Vlašić </w:t>
      </w:r>
      <w:proofErr w:type="spellStart"/>
      <w:r>
        <w:t>dn</w:t>
      </w:r>
      <w:proofErr w:type="spellEnd"/>
      <w:r>
        <w:t xml:space="preserve"> usluge za radove na dogradnji i opremanju Dječjeg vrtića Vlakić Martijanec naplatili ugovorn</w:t>
      </w:r>
      <w:r>
        <w:t>u kaznu zbog kašnjenja.</w:t>
      </w:r>
    </w:p>
    <w:p w:rsidR="00955C61" w:rsidRDefault="00B2200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za rad predstavničkih i izvršnih tijela, povjerenstava </w:t>
            </w:r>
            <w:r>
              <w:rPr>
                <w:sz w:val="18"/>
              </w:rPr>
              <w:t>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8.719,71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35.730,25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409,8</w:t>
            </w:r>
          </w:p>
        </w:tc>
      </w:tr>
    </w:tbl>
    <w:p w:rsidR="00955C61" w:rsidRDefault="00955C61">
      <w:pPr>
        <w:spacing w:after="0"/>
      </w:pPr>
    </w:p>
    <w:p w:rsidR="00955C61" w:rsidRDefault="00B2200D" w:rsidP="00B2200D">
      <w:pPr>
        <w:jc w:val="both"/>
      </w:pPr>
      <w:r>
        <w:t>Ove naknade veće su za 309,8 % u odnosu na prošlu godinu iz razloga jer su ove godine bili lokalni izbori te su ovdje knjižili naknade za izborna povjerenstva biračke odbore.</w:t>
      </w:r>
    </w:p>
    <w:p w:rsidR="00955C61" w:rsidRDefault="00B2200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2.922,46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9.362,60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320,4</w:t>
            </w:r>
          </w:p>
        </w:tc>
      </w:tr>
    </w:tbl>
    <w:p w:rsidR="00955C61" w:rsidRDefault="00955C61">
      <w:pPr>
        <w:spacing w:after="0"/>
      </w:pPr>
    </w:p>
    <w:p w:rsidR="00955C61" w:rsidRDefault="00B2200D" w:rsidP="00B2200D">
      <w:pPr>
        <w:jc w:val="both"/>
      </w:pPr>
      <w:r>
        <w:t>Premije osiguranja povećane su za 220,4 % jer su nam se u 2025. godini istekla osiguranja imovine koja smo morali obnoviti.</w:t>
      </w:r>
    </w:p>
    <w:p w:rsidR="00955C61" w:rsidRDefault="00B2200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3.447,54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14.980,26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434,5</w:t>
            </w:r>
          </w:p>
        </w:tc>
      </w:tr>
    </w:tbl>
    <w:p w:rsidR="00955C61" w:rsidRDefault="00955C61">
      <w:pPr>
        <w:spacing w:after="0"/>
      </w:pPr>
    </w:p>
    <w:p w:rsidR="00955C61" w:rsidRDefault="00B2200D" w:rsidP="00B2200D">
      <w:pPr>
        <w:jc w:val="both"/>
      </w:pPr>
      <w:r>
        <w:t>Pristojbe i naknade povećane su za 334,5 %, a povećane su jer smo u 2025. godini bili u obvezi platiti naknadu za odlaganje otpada koja se ranije nije plaćala.</w:t>
      </w:r>
    </w:p>
    <w:p w:rsidR="00955C61" w:rsidRDefault="00B2200D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Prijenosi proračunskim korisnicima iz nadležnog proračuna za financiranje rashoda </w:t>
            </w:r>
            <w:r>
              <w:rPr>
                <w:sz w:val="18"/>
              </w:rPr>
              <w:t>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454.500,00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132,5</w:t>
            </w:r>
          </w:p>
        </w:tc>
      </w:tr>
    </w:tbl>
    <w:p w:rsidR="00955C61" w:rsidRDefault="00955C61">
      <w:pPr>
        <w:spacing w:after="0"/>
      </w:pPr>
    </w:p>
    <w:p w:rsidR="00955C61" w:rsidRDefault="00B2200D">
      <w:r>
        <w:t>Prijenosi proračunskom korisniku Dječjem vrtiću Vlakić Martijanec u odnosu na isto razdoblje protekle godine povećani su za 32,5 % zbog povećanja redovnih troškova ustanove.</w:t>
      </w:r>
    </w:p>
    <w:p w:rsidR="00955C61" w:rsidRDefault="00955C61"/>
    <w:p w:rsidR="00955C61" w:rsidRDefault="00B2200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272,0</w:t>
            </w:r>
          </w:p>
        </w:tc>
      </w:tr>
    </w:tbl>
    <w:p w:rsidR="00955C61" w:rsidRDefault="00955C61">
      <w:pPr>
        <w:spacing w:after="0"/>
      </w:pPr>
    </w:p>
    <w:p w:rsidR="00955C61" w:rsidRDefault="00B2200D" w:rsidP="00B2200D">
      <w:pPr>
        <w:jc w:val="both"/>
      </w:pPr>
      <w:r>
        <w:t>Ova skupina rashoda povećana je jer je izrađen PPU Općine Martijanec i Urbanistički plan uređenja dijela naselja Martijanec.</w:t>
      </w:r>
    </w:p>
    <w:p w:rsidR="00955C61" w:rsidRDefault="00B2200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955C61" w:rsidRDefault="00B2200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Nefinancijska </w:t>
            </w:r>
            <w:r>
              <w:rPr>
                <w:sz w:val="18"/>
              </w:rPr>
              <w:t>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6.854.469,93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7.497.171,48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109,4</w:t>
            </w:r>
          </w:p>
        </w:tc>
      </w:tr>
    </w:tbl>
    <w:p w:rsidR="00955C61" w:rsidRDefault="00955C61">
      <w:pPr>
        <w:spacing w:after="0"/>
      </w:pPr>
    </w:p>
    <w:p w:rsidR="00955C61" w:rsidRDefault="00B2200D" w:rsidP="00B2200D">
      <w:pPr>
        <w:jc w:val="both"/>
      </w:pPr>
      <w:r>
        <w:t xml:space="preserve">Nefinancijska imovina povećana je za blagih 9,4 %, a povećanje je vidljivo i kod </w:t>
      </w:r>
      <w:proofErr w:type="spellStart"/>
      <w:r>
        <w:t>neproizvedene</w:t>
      </w:r>
      <w:proofErr w:type="spellEnd"/>
      <w:r>
        <w:t xml:space="preserve"> dugotrajne imovine (naslijeđeno, kupljeno) i kod proizvedene imovine (ulaganja u postojeće i nove objekte).</w:t>
      </w:r>
    </w:p>
    <w:p w:rsidR="00955C61" w:rsidRDefault="00B2200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1.187.012,41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964.944,52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81,3</w:t>
            </w:r>
          </w:p>
        </w:tc>
      </w:tr>
    </w:tbl>
    <w:p w:rsidR="00955C61" w:rsidRDefault="00955C61">
      <w:pPr>
        <w:spacing w:after="0"/>
      </w:pPr>
    </w:p>
    <w:p w:rsidR="00955C61" w:rsidRDefault="00B2200D">
      <w:r>
        <w:t>Financijska imovina iznosi 964.944,52 EUR i manja je za 18,7% jer smo kraj godine završili s manje sredstava na poslovnom računu.</w:t>
      </w:r>
    </w:p>
    <w:p w:rsidR="00955C61" w:rsidRDefault="00955C61"/>
    <w:p w:rsidR="00955C61" w:rsidRDefault="00B2200D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od </w:t>
            </w:r>
            <w:r>
              <w:rPr>
                <w:sz w:val="18"/>
              </w:rPr>
              <w:t>prodaje nefinancijske imovine (šifre 171 do 174 - 179)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6.205,72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16.377,30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263,9</w:t>
            </w:r>
          </w:p>
        </w:tc>
      </w:tr>
    </w:tbl>
    <w:p w:rsidR="00955C61" w:rsidRDefault="00955C61">
      <w:pPr>
        <w:spacing w:after="0"/>
      </w:pPr>
    </w:p>
    <w:p w:rsidR="00955C61" w:rsidRDefault="00B2200D" w:rsidP="00B2200D">
      <w:pPr>
        <w:jc w:val="both"/>
      </w:pPr>
      <w:r>
        <w:t>Potraživanja od prodaje nefinancijske imovine povećana su za 163,9 % zbog realizirane prodaje nefinancijske imovine.</w:t>
      </w:r>
    </w:p>
    <w:p w:rsidR="00955C61" w:rsidRDefault="00B2200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605.950,74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318.445,13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52,6</w:t>
            </w:r>
          </w:p>
        </w:tc>
      </w:tr>
    </w:tbl>
    <w:p w:rsidR="00955C61" w:rsidRDefault="00955C61">
      <w:pPr>
        <w:spacing w:after="0"/>
      </w:pPr>
    </w:p>
    <w:p w:rsidR="00955C61" w:rsidRDefault="00B2200D" w:rsidP="00B2200D">
      <w:pPr>
        <w:jc w:val="both"/>
      </w:pPr>
      <w:r>
        <w:t xml:space="preserve">Stanje obveza na dan 31.12.2025. godine iznosi 318.445,13 EUR, a sastoji se od obveza za </w:t>
      </w:r>
      <w:r>
        <w:t>rashode poslovanja u iznosu od 34.448,68 EUR, obveza za nabavu nefinancijske imovine u iznosu od 53.592,63 EUR i obveza za kredite i zajmove u iznosu od 220.651,75 EU</w:t>
      </w:r>
      <w:r>
        <w:t>R. U odnosu na prethodnu godinu obveze su smanjene za 47,4 %.</w:t>
      </w:r>
    </w:p>
    <w:p w:rsidR="00955C61" w:rsidRDefault="00B2200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1.310.584,47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2.629.307,72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200,6</w:t>
            </w:r>
          </w:p>
        </w:tc>
      </w:tr>
    </w:tbl>
    <w:p w:rsidR="00955C61" w:rsidRDefault="00955C61">
      <w:pPr>
        <w:spacing w:after="0"/>
      </w:pPr>
    </w:p>
    <w:p w:rsidR="00955C61" w:rsidRDefault="00B2200D" w:rsidP="00B2200D">
      <w:pPr>
        <w:jc w:val="both"/>
      </w:pPr>
      <w:proofErr w:type="spellStart"/>
      <w:r>
        <w:t>Izvanbilančni</w:t>
      </w:r>
      <w:proofErr w:type="spellEnd"/>
      <w:r>
        <w:t xml:space="preserve"> zapisi (991) sastoje se od primljenih i danih jamstava te iznose 2.629.307,72 EUR.</w:t>
      </w:r>
    </w:p>
    <w:p w:rsidR="00955C61" w:rsidRDefault="00B2200D" w:rsidP="00B2200D">
      <w:pPr>
        <w:jc w:val="both"/>
      </w:pPr>
      <w:r>
        <w:t>Primljena jamstva evidentirana su u iznosu od 592.495,22 EUR, a odnose se na garancije kvalitete izvedenih usluga, garancije plaćanja sufinanciranja asfaltiran</w:t>
      </w:r>
      <w:r>
        <w:t>ja cesta, plaćanja koncesijske naknade, jamstvo za dobro izvršenje posla i jamstvo za ozbiljnost ponude. </w:t>
      </w:r>
    </w:p>
    <w:p w:rsidR="00955C61" w:rsidRDefault="00B2200D" w:rsidP="00B2200D">
      <w:pPr>
        <w:jc w:val="both"/>
      </w:pPr>
      <w:r>
        <w:t>Dana jamstva evidentirana su u iznosu od 726.228,03 EUR, a sastoje se od jamstava izdanih kao sredstvo osiguranja plaćanja Termoplinu temeljem ugovora</w:t>
      </w:r>
      <w:r>
        <w:t xml:space="preserve"> za opskrbu plinom, Hrvatskoj poštanskoj banci za dugoročni kredit, te ministarstvima od kojih su nam odobrena sredstva za sufinanciranje projekata.</w:t>
      </w:r>
    </w:p>
    <w:p w:rsidR="00955C61" w:rsidRDefault="00955C61"/>
    <w:p w:rsidR="00955C61" w:rsidRDefault="00B2200D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955C61" w:rsidRDefault="00B2200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955C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55C61" w:rsidRDefault="00955C61">
      <w:pPr>
        <w:spacing w:after="0"/>
      </w:pPr>
    </w:p>
    <w:p w:rsidR="00955C61" w:rsidRDefault="00B2200D" w:rsidP="00B2200D">
      <w:pPr>
        <w:jc w:val="both"/>
      </w:pPr>
      <w:r>
        <w:t>Stanje dospjelih obveza na kraju izvještajnog razdoblja iznose 1.583,39 EUR, a sastoje se od slijedećih obveza: HRVATSKE VODE –  obveza za naknadu za uređenje voda u iznosu od 1.089,64 EUR te na račun Instalacije Vahtarić u iznosu od 493,75 EUR za demontaž</w:t>
      </w:r>
      <w:r>
        <w:t>u i montažu bojlera u sportsko</w:t>
      </w:r>
      <w:r>
        <w:t>m objektu.</w:t>
      </w:r>
    </w:p>
    <w:p w:rsidR="00955C61" w:rsidRDefault="00B2200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55C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C6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955C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316.861,74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55C61" w:rsidRDefault="00B220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55C61" w:rsidRDefault="00955C61">
      <w:pPr>
        <w:spacing w:after="0"/>
      </w:pPr>
    </w:p>
    <w:p w:rsidR="00955C61" w:rsidRDefault="00B2200D" w:rsidP="00B2200D">
      <w:pPr>
        <w:jc w:val="both"/>
      </w:pPr>
      <w:r>
        <w:t>Stanje nedospjelih obveza na kraju izvještajnog razdoblja (V009) iznosi 316.861,74 EUR.</w:t>
      </w:r>
    </w:p>
    <w:p w:rsidR="00955C61" w:rsidRDefault="00B2200D" w:rsidP="00B2200D">
      <w:pPr>
        <w:jc w:val="both"/>
      </w:pPr>
      <w:r>
        <w:t>Glavninu tih obveza čine: </w:t>
      </w:r>
    </w:p>
    <w:p w:rsidR="00955C61" w:rsidRDefault="00B2200D" w:rsidP="00B2200D">
      <w:pPr>
        <w:pStyle w:val="Odlomakpopisa"/>
        <w:numPr>
          <w:ilvl w:val="0"/>
          <w:numId w:val="1"/>
        </w:numPr>
        <w:jc w:val="both"/>
      </w:pPr>
      <w:r>
        <w:t xml:space="preserve">obveza za izvedene radove na opremanju i uređenju dječjeg igrališta u </w:t>
      </w:r>
      <w:proofErr w:type="spellStart"/>
      <w:r>
        <w:t>Hrastovljanu</w:t>
      </w:r>
      <w:proofErr w:type="spellEnd"/>
      <w:r>
        <w:t xml:space="preserve"> u iznosu od 39.570,00 EUR te radovi na osvjetljenju, navod</w:t>
      </w:r>
      <w:r>
        <w:t xml:space="preserve">njavanju i uređenju nogometnog terena u </w:t>
      </w:r>
      <w:proofErr w:type="spellStart"/>
      <w:r>
        <w:t>Vrbanovcu</w:t>
      </w:r>
      <w:proofErr w:type="spellEnd"/>
      <w:r>
        <w:t xml:space="preserve"> u iznosu od 12.897,63 EUR</w:t>
      </w:r>
    </w:p>
    <w:p w:rsidR="00955C61" w:rsidRDefault="00B2200D" w:rsidP="00B2200D">
      <w:pPr>
        <w:pStyle w:val="Odlomakpopisa"/>
        <w:numPr>
          <w:ilvl w:val="0"/>
          <w:numId w:val="1"/>
        </w:numPr>
        <w:jc w:val="both"/>
      </w:pPr>
      <w:r>
        <w:t xml:space="preserve">obveze za rashode poslovanja  u iznosu od 32.865,29 EUR odnose se na nedospjele obveze za isplatu plaće te ostalim mjesečnih standardnih troškova (električna energija, plin, smeće </w:t>
      </w:r>
      <w:r>
        <w:t>i ostalo)</w:t>
      </w:r>
    </w:p>
    <w:p w:rsidR="00955C61" w:rsidRDefault="00B2200D" w:rsidP="00B2200D">
      <w:pPr>
        <w:pStyle w:val="Odlomakpopisa"/>
        <w:numPr>
          <w:ilvl w:val="0"/>
          <w:numId w:val="1"/>
        </w:numPr>
        <w:jc w:val="both"/>
      </w:pPr>
      <w:r>
        <w:t>obveza za financijsku imovinu -  dugoročni kredit podignut kod Hrvatske poštanske banke d.d. za rekonstrukciju i dogradnju zgrade Osnovne škole u iznosu od 220.651,75 EUR</w:t>
      </w:r>
    </w:p>
    <w:p w:rsidR="00955C61" w:rsidRDefault="00B2200D" w:rsidP="00B2200D">
      <w:pPr>
        <w:pStyle w:val="Odlomakpopisa"/>
        <w:numPr>
          <w:ilvl w:val="0"/>
          <w:numId w:val="1"/>
        </w:numPr>
        <w:jc w:val="both"/>
      </w:pPr>
      <w:r>
        <w:t xml:space="preserve">obveza za jamčevine, naknadu za zadržavanje nezakonito izgrađenih </w:t>
      </w:r>
      <w:proofErr w:type="spellStart"/>
      <w:r>
        <w:t>zgrda</w:t>
      </w:r>
      <w:proofErr w:type="spellEnd"/>
      <w:r>
        <w:t xml:space="preserve"> te </w:t>
      </w:r>
      <w:r>
        <w:t>troškova stanovanja iznose 9.752,07 EUR</w:t>
      </w:r>
    </w:p>
    <w:p w:rsidR="00955C61" w:rsidRDefault="00955C61" w:rsidP="00B2200D">
      <w:pPr>
        <w:jc w:val="both"/>
      </w:pPr>
    </w:p>
    <w:p w:rsidR="00955C61" w:rsidRDefault="00B2200D">
      <w:pPr>
        <w:keepNext/>
        <w:spacing w:line="240" w:lineRule="auto"/>
        <w:jc w:val="center"/>
      </w:pPr>
      <w:r>
        <w:rPr>
          <w:sz w:val="28"/>
        </w:rPr>
        <w:t>Bilješka 18.</w:t>
      </w:r>
    </w:p>
    <w:p w:rsidR="00955C61" w:rsidRDefault="00B2200D">
      <w:pPr>
        <w:spacing w:line="240" w:lineRule="auto"/>
        <w:jc w:val="both"/>
      </w:pPr>
      <w:r>
        <w:rPr>
          <w:b/>
        </w:rPr>
        <w:t>EU izvještaj</w:t>
      </w:r>
    </w:p>
    <w:p w:rsidR="00955C61" w:rsidRDefault="00B2200D" w:rsidP="00B2200D">
      <w:pPr>
        <w:jc w:val="both"/>
      </w:pPr>
      <w:bookmarkStart w:id="0" w:name="_GoBack"/>
      <w:r>
        <w:t xml:space="preserve">Općina Martijanec primila je tekuće pomoći temeljem prijenosa EU sredstava u iznosu od 15.603,59 za </w:t>
      </w:r>
      <w:proofErr w:type="spellStart"/>
      <w:r>
        <w:t>Renewat</w:t>
      </w:r>
      <w:proofErr w:type="spellEnd"/>
      <w:r>
        <w:t xml:space="preserve"> - </w:t>
      </w:r>
      <w:proofErr w:type="spellStart"/>
      <w:r>
        <w:t>Interreg</w:t>
      </w:r>
      <w:proofErr w:type="spellEnd"/>
      <w:r>
        <w:t xml:space="preserve"> Europe te 179.681,14 EUR sredstva NPOO za dogradnju i opremanje DV Vla</w:t>
      </w:r>
      <w:r>
        <w:t>kić Martijanec.</w:t>
      </w:r>
    </w:p>
    <w:bookmarkEnd w:id="0"/>
    <w:p w:rsidR="00955C61" w:rsidRDefault="00955C61"/>
    <w:sectPr w:rsidR="00955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B3949"/>
    <w:multiLevelType w:val="hybridMultilevel"/>
    <w:tmpl w:val="A3B863AE"/>
    <w:name w:val="disc"/>
    <w:lvl w:ilvl="0" w:tplc="95C416EA">
      <w:start w:val="1"/>
      <w:numFmt w:val="bullet"/>
      <w:lvlText w:val="•"/>
      <w:lvlJc w:val="left"/>
      <w:pPr>
        <w:ind w:left="720" w:hanging="360"/>
      </w:pPr>
    </w:lvl>
    <w:lvl w:ilvl="1" w:tplc="5880A126">
      <w:start w:val="1"/>
      <w:numFmt w:val="bullet"/>
      <w:lvlText w:val="•"/>
      <w:lvlJc w:val="left"/>
      <w:pPr>
        <w:ind w:left="1440" w:hanging="360"/>
      </w:pPr>
    </w:lvl>
    <w:lvl w:ilvl="2" w:tplc="96CECB1E">
      <w:start w:val="1"/>
      <w:numFmt w:val="bullet"/>
      <w:lvlText w:val="•"/>
      <w:lvlJc w:val="left"/>
      <w:pPr>
        <w:ind w:left="2160" w:hanging="360"/>
      </w:pPr>
    </w:lvl>
    <w:lvl w:ilvl="3" w:tplc="F3E05992">
      <w:start w:val="1"/>
      <w:numFmt w:val="bullet"/>
      <w:lvlText w:val="•"/>
      <w:lvlJc w:val="left"/>
      <w:pPr>
        <w:ind w:left="2880" w:hanging="360"/>
      </w:pPr>
    </w:lvl>
    <w:lvl w:ilvl="4" w:tplc="ABFA41B6">
      <w:start w:val="1"/>
      <w:numFmt w:val="bullet"/>
      <w:lvlText w:val="•"/>
      <w:lvlJc w:val="left"/>
      <w:pPr>
        <w:ind w:left="3600" w:hanging="360"/>
      </w:pPr>
    </w:lvl>
    <w:lvl w:ilvl="5" w:tplc="347CC5A0">
      <w:start w:val="1"/>
      <w:numFmt w:val="bullet"/>
      <w:lvlText w:val="•"/>
      <w:lvlJc w:val="left"/>
      <w:pPr>
        <w:ind w:left="4320" w:hanging="360"/>
      </w:pPr>
    </w:lvl>
    <w:lvl w:ilvl="6" w:tplc="3E8AB570">
      <w:start w:val="1"/>
      <w:numFmt w:val="bullet"/>
      <w:lvlText w:val="•"/>
      <w:lvlJc w:val="left"/>
      <w:pPr>
        <w:ind w:left="5040" w:hanging="360"/>
      </w:pPr>
    </w:lvl>
    <w:lvl w:ilvl="7" w:tplc="092638EC">
      <w:start w:val="1"/>
      <w:numFmt w:val="bullet"/>
      <w:lvlText w:val="•"/>
      <w:lvlJc w:val="left"/>
      <w:pPr>
        <w:ind w:left="5760" w:hanging="360"/>
      </w:pPr>
    </w:lvl>
    <w:lvl w:ilvl="8" w:tplc="38488CF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5C61"/>
    <w:rsid w:val="00955C61"/>
    <w:rsid w:val="00B2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E2455-41E3-4AC1-A491-4B22B7BC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1580</Words>
  <Characters>9012</Characters>
  <Application>Microsoft Office Word</Application>
  <DocSecurity>0</DocSecurity>
  <Lines>75</Lines>
  <Paragraphs>21</Paragraphs>
  <ScaleCrop>false</ScaleCrop>
  <Company/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2026-02-16T11:14:00Z</dcterms:created>
  <dcterms:modified xsi:type="dcterms:W3CDTF">2026-02-16T11:18:00Z</dcterms:modified>
</cp:coreProperties>
</file>